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0681F" w:rsidRPr="00346AC1" w:rsidTr="00DF58B0">
        <w:tc>
          <w:tcPr>
            <w:tcW w:w="4786" w:type="dxa"/>
          </w:tcPr>
          <w:p w:rsidR="0030681F" w:rsidRPr="00346AC1" w:rsidRDefault="0030681F" w:rsidP="00DF58B0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C04FC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Description: Description: mali grb kolorni osenceni" style="position:absolute;margin-left:82.25pt;margin-top:-7pt;width:52.2pt;height:7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 mali grb kolorni osenceni"/>
                  <w10:wrap type="square"/>
                </v:shape>
              </w:pict>
            </w:r>
          </w:p>
        </w:tc>
      </w:tr>
      <w:tr w:rsidR="0030681F" w:rsidRPr="00346AC1" w:rsidTr="00DF58B0">
        <w:trPr>
          <w:trHeight w:val="323"/>
        </w:trPr>
        <w:tc>
          <w:tcPr>
            <w:tcW w:w="4786" w:type="dxa"/>
          </w:tcPr>
          <w:p w:rsidR="0030681F" w:rsidRPr="00346AC1" w:rsidRDefault="0030681F" w:rsidP="00DF58B0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0681F" w:rsidRPr="00346AC1" w:rsidRDefault="0030681F" w:rsidP="00DF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0681F" w:rsidRPr="00346AC1" w:rsidRDefault="0030681F" w:rsidP="00DF58B0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-15/2017-08</w:t>
            </w:r>
          </w:p>
          <w:p w:rsidR="0030681F" w:rsidRPr="00346AC1" w:rsidRDefault="0030681F" w:rsidP="00DF58B0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1830D5">
              <w:rPr>
                <w:rFonts w:ascii="Times New Roman" w:hAnsi="Times New Roman"/>
                <w:sz w:val="24"/>
                <w:szCs w:val="24"/>
              </w:rPr>
              <w:t>.</w:t>
            </w:r>
            <w:r w:rsidRPr="001830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830D5">
              <w:rPr>
                <w:rFonts w:ascii="Times New Roman" w:hAnsi="Times New Roman"/>
                <w:sz w:val="24"/>
                <w:szCs w:val="24"/>
                <w:lang w:val="sr-Cyrl-RS"/>
              </w:rPr>
              <w:t>мај</w:t>
            </w:r>
            <w:r w:rsidRPr="001830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30681F" w:rsidRPr="00346AC1" w:rsidRDefault="0030681F" w:rsidP="00DF58B0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0681F" w:rsidRPr="00346AC1" w:rsidRDefault="0030681F" w:rsidP="00DF58B0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0681F" w:rsidRPr="00346AC1" w:rsidRDefault="0030681F" w:rsidP="00DF58B0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0681F" w:rsidRDefault="0030681F" w:rsidP="0030681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681F" w:rsidRDefault="0030681F" w:rsidP="0030681F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1.3.5/2017</w:t>
      </w:r>
    </w:p>
    <w:p w:rsidR="0030681F" w:rsidRPr="006F6C44" w:rsidRDefault="0030681F" w:rsidP="0030681F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школске фискултурне сал</w:t>
      </w:r>
      <w:r w:rsidRPr="00D3511F">
        <w:rPr>
          <w:rFonts w:ascii="Times New Roman" w:hAnsi="Times New Roman"/>
          <w:sz w:val="24"/>
          <w:szCs w:val="24"/>
          <w:lang w:val="sr-Latn-RS"/>
        </w:rPr>
        <w:t>e</w:t>
      </w:r>
      <w:r w:rsidRPr="00D3511F">
        <w:rPr>
          <w:rFonts w:ascii="Times New Roman" w:hAnsi="Times New Roman"/>
          <w:sz w:val="24"/>
          <w:szCs w:val="24"/>
          <w:lang w:val="sr-Cyrl-RS"/>
        </w:rPr>
        <w:t xml:space="preserve"> у ОШ Дуде Јовић</w:t>
      </w:r>
      <w:r w:rsidRPr="00D3511F">
        <w:rPr>
          <w:rFonts w:ascii="Times New Roman" w:hAnsi="Times New Roman"/>
          <w:sz w:val="24"/>
          <w:szCs w:val="24"/>
          <w:lang w:val="sr-Cyrl-CS"/>
        </w:rPr>
        <w:t>, општина Жабари,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30681F" w:rsidRPr="009D560C" w:rsidRDefault="0030681F" w:rsidP="0030681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0681F" w:rsidRDefault="0030681F" w:rsidP="0030681F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Које је боје алуминијумска столарија с обзиром да у предмеру радова пише да је боја по избору пројектанта, а у опису није наведено које је боје?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Боја алуминијумске столарије је бела.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У том смислу извршена је измена конкурсне документације.</w:t>
      </w:r>
    </w:p>
    <w:p w:rsidR="0030681F" w:rsidRPr="006F6C44" w:rsidRDefault="0030681F" w:rsidP="0030681F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 странама 43 и 44 предмера радова налазе се позиције где су износи за количину уписане нуле. Молимо вас да нам одговорите да ли је у питању грешка у куцању и да ли треба да дамо цене за ове позиције радова? Уколико је у питању грешка приликом израде конкурсне документације молимо вас да извршите измену предмера радова додавањем вредности количина за позиције са наведених страна предмера радова.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Позиције које носе количину „0“ су позиције које су изведене у претходном периоду и нису предмет ове јавне набавке а дате су ради сагледавања целине и континуитета радова.</w:t>
      </w:r>
    </w:p>
    <w:p w:rsidR="0030681F" w:rsidRDefault="0030681F" w:rsidP="0030681F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0FE">
        <w:rPr>
          <w:rFonts w:ascii="Times New Roman" w:hAnsi="Times New Roman"/>
          <w:sz w:val="24"/>
          <w:szCs w:val="24"/>
          <w:lang w:val="sr-Cyrl-RS"/>
        </w:rPr>
        <w:t xml:space="preserve">У предмеру конкурсне документације у поглављу </w:t>
      </w:r>
      <w:r w:rsidRPr="005D50FE">
        <w:rPr>
          <w:rFonts w:ascii="Times New Roman" w:hAnsi="Times New Roman"/>
          <w:sz w:val="24"/>
          <w:szCs w:val="24"/>
          <w:lang w:val="sr-Latn-RS"/>
        </w:rPr>
        <w:t xml:space="preserve">VIII </w:t>
      </w:r>
      <w:r w:rsidRPr="005D50FE">
        <w:rPr>
          <w:rFonts w:ascii="Times New Roman" w:hAnsi="Times New Roman"/>
          <w:sz w:val="24"/>
          <w:szCs w:val="24"/>
          <w:lang w:val="sr-Cyrl-RS"/>
        </w:rPr>
        <w:t>Столарски радови (позиције 1-5) захтевате набавку и уградњу столарије од елоксиране браварије застакљене термо стаклом који се пуни хелијумом. Обзиром да се на нашем тржишту хелијум теже налази, да ли ће наручилац прихватити нискоемисионо</w:t>
      </w:r>
      <w:r>
        <w:rPr>
          <w:rFonts w:ascii="Times New Roman" w:hAnsi="Times New Roman"/>
          <w:sz w:val="24"/>
          <w:szCs w:val="24"/>
          <w:lang w:val="sr-Cyrl-RS"/>
        </w:rPr>
        <w:t xml:space="preserve"> стакло са испуном од аргона који би задовољио тражени коефицијент пролаза топлоте.</w:t>
      </w:r>
    </w:p>
    <w:p w:rsidR="0030681F" w:rsidRDefault="0030681F" w:rsidP="003068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81F" w:rsidRDefault="0030681F" w:rsidP="003068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Коефицијент за наведени прозор алуминијумски оквир са нискоемисионим стакло пакетом </w:t>
      </w:r>
      <w:r w:rsidRPr="00F64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4-8-4-8-4mm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и инертним гасом Хелијумом креће се од </w:t>
      </w:r>
      <w:r w:rsidRPr="00F64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1.009</w:t>
      </w:r>
      <w:r w:rsidRPr="00E01F8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  <w:lang w:val="sr-Cyrl-RS"/>
        </w:rPr>
        <w:t xml:space="preserve">до </w:t>
      </w:r>
      <w:r w:rsidRPr="00F64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1.1 W/m2K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док је дозвољена вредност до </w:t>
      </w:r>
      <w:r w:rsidRPr="00F64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1.5 W/m2K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. Може се прихватити Аргон уз услов да задовољава критеријум да коефицијент пролаза топлоте буде мањи од </w:t>
      </w:r>
      <w:r w:rsidRPr="00F64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1,5W/m2K</w:t>
      </w:r>
      <w:r w:rsidRPr="00E01F8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  <w:lang w:val="sr-Cyrl-RS"/>
        </w:rPr>
        <w:t xml:space="preserve"> </w:t>
      </w:r>
      <w:r w:rsidRPr="00F64DB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што ће се доказивати одговарајућим атестом.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0681F" w:rsidRPr="006F6C44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A0102">
        <w:rPr>
          <w:rFonts w:ascii="Times New Roman" w:hAnsi="Times New Roman"/>
          <w:sz w:val="24"/>
          <w:szCs w:val="24"/>
          <w:lang w:val="sr-Cyrl-RS"/>
        </w:rPr>
        <w:t>У складу са напред наведеним извршена је измена конкурсне документације</w:t>
      </w:r>
      <w:r w:rsidR="00C04FC4">
        <w:rPr>
          <w:rFonts w:ascii="Times New Roman" w:hAnsi="Times New Roman"/>
          <w:sz w:val="24"/>
          <w:szCs w:val="24"/>
          <w:lang w:val="sr-Cyrl-RS"/>
        </w:rPr>
        <w:t>,</w:t>
      </w:r>
      <w:r w:rsidRPr="001830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стран</w:t>
      </w:r>
      <w:r w:rsidR="00C04FC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48</w:t>
      </w:r>
      <w:r w:rsidR="00C04FC4">
        <w:rPr>
          <w:rFonts w:ascii="Times New Roman" w:hAnsi="Times New Roman"/>
          <w:sz w:val="24"/>
          <w:szCs w:val="24"/>
        </w:rPr>
        <w:t xml:space="preserve"> </w:t>
      </w:r>
      <w:r w:rsidR="00C04FC4">
        <w:rPr>
          <w:rFonts w:ascii="Times New Roman" w:hAnsi="Times New Roman"/>
          <w:sz w:val="24"/>
          <w:szCs w:val="24"/>
          <w:lang w:val="sr-Cyrl-RS"/>
        </w:rPr>
        <w:t>од 63 и страна</w:t>
      </w:r>
      <w:r>
        <w:rPr>
          <w:rFonts w:ascii="Times New Roman" w:hAnsi="Times New Roman"/>
          <w:sz w:val="24"/>
          <w:szCs w:val="24"/>
          <w:lang w:val="sr-Cyrl-RS"/>
        </w:rPr>
        <w:t xml:space="preserve"> 49</w:t>
      </w:r>
      <w:r w:rsidR="00C04FC4">
        <w:rPr>
          <w:rFonts w:ascii="Times New Roman" w:hAnsi="Times New Roman"/>
          <w:sz w:val="24"/>
          <w:szCs w:val="24"/>
          <w:lang w:val="sr-Cyrl-RS"/>
        </w:rPr>
        <w:t xml:space="preserve"> од 63</w:t>
      </w:r>
      <w:r w:rsidRPr="001A0102">
        <w:rPr>
          <w:rFonts w:ascii="Times New Roman" w:hAnsi="Times New Roman"/>
          <w:sz w:val="24"/>
          <w:szCs w:val="24"/>
          <w:lang w:val="sr-Cyrl-RS"/>
        </w:rPr>
        <w:t>.</w:t>
      </w:r>
    </w:p>
    <w:p w:rsidR="0030681F" w:rsidRDefault="0030681F" w:rsidP="00306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Default="0030681F" w:rsidP="0030681F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D50FE">
        <w:rPr>
          <w:rFonts w:ascii="Times New Roman" w:hAnsi="Times New Roman"/>
          <w:sz w:val="24"/>
          <w:szCs w:val="24"/>
          <w:lang w:val="sr-Cyrl-RS"/>
        </w:rPr>
        <w:t xml:space="preserve">У предмеру конкурсне документације у поглављу </w:t>
      </w:r>
      <w:r w:rsidRPr="005D50FE">
        <w:rPr>
          <w:rFonts w:ascii="Times New Roman" w:hAnsi="Times New Roman"/>
          <w:sz w:val="24"/>
          <w:szCs w:val="24"/>
          <w:lang w:val="sr-Latn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Челична конструкција </w:t>
      </w:r>
      <w:r w:rsidRPr="005D50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50FE">
        <w:rPr>
          <w:rFonts w:ascii="Times New Roman" w:hAnsi="Times New Roman"/>
          <w:sz w:val="24"/>
          <w:szCs w:val="24"/>
          <w:lang w:val="sr-Cyrl-RS"/>
        </w:rPr>
        <w:t>(позициј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Pr="005D50FE">
        <w:rPr>
          <w:rFonts w:ascii="Times New Roman" w:hAnsi="Times New Roman"/>
          <w:sz w:val="24"/>
          <w:szCs w:val="24"/>
          <w:lang w:val="sr-Cyrl-RS"/>
        </w:rPr>
        <w:t xml:space="preserve">) захтевате набавку и уградњу </w:t>
      </w:r>
      <w:r>
        <w:rPr>
          <w:rFonts w:ascii="Times New Roman" w:hAnsi="Times New Roman"/>
          <w:sz w:val="24"/>
          <w:szCs w:val="24"/>
          <w:lang w:val="sr-Cyrl-RS"/>
        </w:rPr>
        <w:t xml:space="preserve">челичне кровне констуркције која се фарба противпожарном заштитном бојом </w:t>
      </w:r>
      <w:r>
        <w:rPr>
          <w:rFonts w:ascii="Times New Roman" w:hAnsi="Times New Roman"/>
          <w:sz w:val="24"/>
          <w:szCs w:val="24"/>
          <w:lang w:val="sr-Latn-RS"/>
        </w:rPr>
        <w:t>F</w:t>
      </w:r>
      <w:r>
        <w:rPr>
          <w:rFonts w:ascii="Times New Roman" w:hAnsi="Times New Roman"/>
          <w:sz w:val="24"/>
          <w:szCs w:val="24"/>
          <w:lang w:val="sr-Cyrl-RS"/>
        </w:rPr>
        <w:t>60 мин у два премаза. Уколико је пројектом предвиђена и уградња спуштеног плафона да ли ће наручилац прихватити фарбање конструкције противпожарном бојом</w:t>
      </w:r>
      <w:r w:rsidRPr="005D50FE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</w:t>
      </w:r>
      <w:r>
        <w:rPr>
          <w:rFonts w:ascii="Times New Roman" w:hAnsi="Times New Roman"/>
          <w:sz w:val="24"/>
          <w:szCs w:val="24"/>
          <w:lang w:val="sr-Cyrl-RS"/>
        </w:rPr>
        <w:t xml:space="preserve">30 у два премаза јер сматрамо да је том случају сасвим довољна заштита на 30 мин. 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0681F" w:rsidRPr="001A0102" w:rsidRDefault="0030681F" w:rsidP="0030681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A0102">
        <w:rPr>
          <w:rFonts w:ascii="Times New Roman" w:hAnsi="Times New Roman"/>
          <w:sz w:val="24"/>
          <w:szCs w:val="24"/>
          <w:lang w:val="sr-Cyrl-RS"/>
        </w:rPr>
        <w:t xml:space="preserve">Према техничкој препоруци за заштиту од пожара стамебних, пословних и јавних зграда </w:t>
      </w:r>
      <w:r w:rsidRPr="001A0102">
        <w:rPr>
          <w:rFonts w:ascii="Times New Roman" w:hAnsi="Times New Roman"/>
          <w:sz w:val="24"/>
          <w:szCs w:val="24"/>
        </w:rPr>
        <w:t>( JUS TP 21 )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 објекат спада у класу Издвојене јавне зграде и јавне зграде у низу висине до 8м ознаке</w:t>
      </w:r>
      <w:r w:rsidRPr="001A0102">
        <w:rPr>
          <w:rFonts w:ascii="Times New Roman" w:hAnsi="Times New Roman"/>
          <w:sz w:val="24"/>
          <w:szCs w:val="24"/>
        </w:rPr>
        <w:t xml:space="preserve"> NJ1. 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Према истој препоруци на основу броја лица која бораве у згради, у конкретном случају </w:t>
      </w:r>
      <w:r w:rsidRPr="001A0102">
        <w:rPr>
          <w:rFonts w:ascii="Times New Roman" w:hAnsi="Times New Roman"/>
          <w:sz w:val="24"/>
          <w:szCs w:val="24"/>
        </w:rPr>
        <w:t xml:space="preserve">51-100 </w:t>
      </w:r>
      <w:r w:rsidRPr="001A0102">
        <w:rPr>
          <w:rFonts w:ascii="Times New Roman" w:hAnsi="Times New Roman"/>
          <w:sz w:val="24"/>
          <w:szCs w:val="24"/>
          <w:lang w:val="sr-Cyrl-RS"/>
        </w:rPr>
        <w:t>и површине пожарног сектора</w:t>
      </w:r>
      <w:r w:rsidRPr="001A0102">
        <w:rPr>
          <w:rFonts w:ascii="Times New Roman" w:hAnsi="Times New Roman"/>
          <w:sz w:val="24"/>
          <w:szCs w:val="24"/>
        </w:rPr>
        <w:t xml:space="preserve"> ( &lt; 1200 m²</w:t>
      </w:r>
      <w:bookmarkStart w:id="0" w:name="_GoBack"/>
      <w:bookmarkEnd w:id="0"/>
      <w:r w:rsidRPr="001A0102">
        <w:rPr>
          <w:rFonts w:ascii="Times New Roman" w:hAnsi="Times New Roman"/>
          <w:sz w:val="24"/>
          <w:szCs w:val="24"/>
        </w:rPr>
        <w:t xml:space="preserve">) </w:t>
      </w:r>
      <w:r w:rsidRPr="001A0102">
        <w:rPr>
          <w:rFonts w:ascii="Times New Roman" w:hAnsi="Times New Roman"/>
          <w:sz w:val="24"/>
          <w:szCs w:val="24"/>
          <w:lang w:val="sr-Cyrl-RS"/>
        </w:rPr>
        <w:t>класа објекта 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0102">
        <w:rPr>
          <w:rFonts w:ascii="Times New Roman" w:hAnsi="Times New Roman"/>
          <w:sz w:val="24"/>
          <w:szCs w:val="24"/>
        </w:rPr>
        <w:t>P3.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 Према табели 2</w:t>
      </w:r>
      <w:r w:rsidRPr="001A0102">
        <w:rPr>
          <w:rFonts w:ascii="Times New Roman" w:hAnsi="Times New Roman"/>
          <w:sz w:val="24"/>
          <w:szCs w:val="24"/>
        </w:rPr>
        <w:t xml:space="preserve"> (</w:t>
      </w:r>
      <w:r w:rsidRPr="001A0102">
        <w:rPr>
          <w:rFonts w:ascii="Times New Roman" w:hAnsi="Times New Roman"/>
          <w:sz w:val="24"/>
          <w:szCs w:val="24"/>
          <w:lang w:val="sr-Cyrl-RS"/>
        </w:rPr>
        <w:t>Основне вредности</w:t>
      </w:r>
      <w:r w:rsidRPr="001A0102">
        <w:rPr>
          <w:rFonts w:ascii="Times New Roman" w:hAnsi="Times New Roman"/>
          <w:sz w:val="24"/>
          <w:szCs w:val="24"/>
        </w:rPr>
        <w:t xml:space="preserve"> SOP) </w:t>
      </w:r>
      <w:r w:rsidRPr="001A0102">
        <w:rPr>
          <w:rFonts w:ascii="Times New Roman" w:hAnsi="Times New Roman"/>
          <w:sz w:val="24"/>
          <w:szCs w:val="24"/>
          <w:lang w:val="sr-Cyrl-RS"/>
        </w:rPr>
        <w:t>ове препоруке, степен отпорности</w:t>
      </w:r>
      <w:r w:rsidR="00C04F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0102">
        <w:rPr>
          <w:rFonts w:ascii="Times New Roman" w:hAnsi="Times New Roman"/>
          <w:sz w:val="24"/>
          <w:szCs w:val="24"/>
          <w:lang w:val="sr-Cyrl-RS"/>
        </w:rPr>
        <w:t>зграде према пожару је</w:t>
      </w:r>
      <w:r w:rsidRPr="001A0102">
        <w:rPr>
          <w:rFonts w:ascii="Times New Roman" w:hAnsi="Times New Roman"/>
          <w:sz w:val="24"/>
          <w:szCs w:val="24"/>
        </w:rPr>
        <w:t xml:space="preserve"> IV </w:t>
      </w:r>
      <w:r w:rsidRPr="001A0102">
        <w:rPr>
          <w:rFonts w:ascii="Times New Roman" w:hAnsi="Times New Roman"/>
          <w:sz w:val="24"/>
          <w:szCs w:val="24"/>
          <w:lang w:val="sr-Latn-RS"/>
        </w:rPr>
        <w:t>(</w:t>
      </w:r>
      <w:r w:rsidRPr="001A0102">
        <w:rPr>
          <w:rFonts w:ascii="Times New Roman" w:hAnsi="Times New Roman"/>
          <w:sz w:val="24"/>
          <w:szCs w:val="24"/>
          <w:lang w:val="sr-Cyrl-RS"/>
        </w:rPr>
        <w:t>већа отпорност</w:t>
      </w:r>
      <w:r w:rsidRPr="001A0102">
        <w:rPr>
          <w:rFonts w:ascii="Times New Roman" w:hAnsi="Times New Roman"/>
          <w:sz w:val="24"/>
          <w:szCs w:val="24"/>
          <w:lang w:val="sr-Latn-RS"/>
        </w:rPr>
        <w:t>).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 Према табели 3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Pr="001A0102">
        <w:rPr>
          <w:rFonts w:ascii="Times New Roman" w:hAnsi="Times New Roman"/>
          <w:sz w:val="24"/>
          <w:szCs w:val="24"/>
          <w:lang w:val="sr-Cyrl-RS"/>
        </w:rPr>
        <w:t>веза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 SOP </w:t>
      </w:r>
      <w:r w:rsidRPr="001A0102">
        <w:rPr>
          <w:rFonts w:ascii="Times New Roman" w:hAnsi="Times New Roman"/>
          <w:sz w:val="24"/>
          <w:szCs w:val="24"/>
          <w:lang w:val="sr-Cyrl-RS"/>
        </w:rPr>
        <w:t>и отпорности према пожару конструкција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) </w:t>
      </w:r>
      <w:r w:rsidRPr="001A0102">
        <w:rPr>
          <w:rFonts w:ascii="Times New Roman" w:hAnsi="Times New Roman"/>
          <w:sz w:val="24"/>
          <w:szCs w:val="24"/>
          <w:lang w:val="sr-Cyrl-RS"/>
        </w:rPr>
        <w:t>ове исте препоруке, за кровну констукцију зграде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 IV </w:t>
      </w:r>
      <w:r w:rsidRPr="001A0102">
        <w:rPr>
          <w:rFonts w:ascii="Times New Roman" w:hAnsi="Times New Roman"/>
          <w:sz w:val="24"/>
          <w:szCs w:val="24"/>
          <w:lang w:val="sr-Cyrl-RS"/>
        </w:rPr>
        <w:t>степена отпорности предвиђена је ватроотпорност од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 ½ h tj. 30 min.</w:t>
      </w:r>
      <w:r>
        <w:rPr>
          <w:rFonts w:ascii="Times New Roman" w:hAnsi="Times New Roman"/>
          <w:sz w:val="24"/>
          <w:szCs w:val="24"/>
          <w:lang w:val="sr-Cyrl-RS"/>
        </w:rPr>
        <w:t xml:space="preserve"> Већа ватроотпорност </w:t>
      </w:r>
      <w:r w:rsidRPr="001A0102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овне конструкције 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60 min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редвиђена је за зграде највећег степена отпорности 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( V ) </w:t>
      </w:r>
      <w:r w:rsidRPr="001A0102">
        <w:rPr>
          <w:rFonts w:ascii="Times New Roman" w:hAnsi="Times New Roman"/>
          <w:sz w:val="24"/>
          <w:szCs w:val="24"/>
          <w:lang w:val="sr-Cyrl-RS"/>
        </w:rPr>
        <w:t xml:space="preserve">а то су објекти са бројем људи преко </w:t>
      </w:r>
      <w:r w:rsidRPr="001A0102">
        <w:rPr>
          <w:rFonts w:ascii="Times New Roman" w:hAnsi="Times New Roman"/>
          <w:sz w:val="24"/>
          <w:szCs w:val="24"/>
          <w:lang w:val="sr-Latn-RS"/>
        </w:rPr>
        <w:t xml:space="preserve">1500. </w:t>
      </w:r>
    </w:p>
    <w:p w:rsidR="0030681F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A0102">
        <w:rPr>
          <w:rFonts w:ascii="Times New Roman" w:hAnsi="Times New Roman"/>
          <w:sz w:val="24"/>
          <w:szCs w:val="24"/>
          <w:lang w:val="sr-Cyrl-RS"/>
        </w:rPr>
        <w:t>У складу са напред наведеним извршена је измена конкурсне документације</w:t>
      </w:r>
      <w:r w:rsidR="00C04FC4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стран</w:t>
      </w:r>
      <w:r w:rsidR="00C04FC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47</w:t>
      </w:r>
      <w:r w:rsidR="00C04FC4">
        <w:rPr>
          <w:rFonts w:ascii="Times New Roman" w:hAnsi="Times New Roman"/>
          <w:sz w:val="24"/>
          <w:szCs w:val="24"/>
          <w:lang w:val="sr-Cyrl-RS"/>
        </w:rPr>
        <w:t xml:space="preserve"> од 63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0681F" w:rsidRPr="006F6C44" w:rsidRDefault="0030681F" w:rsidP="0030681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681F" w:rsidRDefault="0030681F" w:rsidP="0030681F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0681F" w:rsidRDefault="0030681F" w:rsidP="0030681F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0681F" w:rsidRDefault="0030681F" w:rsidP="0030681F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Pr="0030681F" w:rsidRDefault="000D16AE" w:rsidP="0030681F"/>
    <w:sectPr w:rsidR="000D16AE" w:rsidRPr="0030681F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C2CDC"/>
    <w:multiLevelType w:val="hybridMultilevel"/>
    <w:tmpl w:val="1F3C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3A"/>
    <w:rsid w:val="000D16AE"/>
    <w:rsid w:val="001A0102"/>
    <w:rsid w:val="001A5459"/>
    <w:rsid w:val="001B1C43"/>
    <w:rsid w:val="001C4B9D"/>
    <w:rsid w:val="001F0840"/>
    <w:rsid w:val="002D2511"/>
    <w:rsid w:val="0030681F"/>
    <w:rsid w:val="003A062C"/>
    <w:rsid w:val="00417F17"/>
    <w:rsid w:val="0049414E"/>
    <w:rsid w:val="00494EFF"/>
    <w:rsid w:val="00504F9E"/>
    <w:rsid w:val="005267D9"/>
    <w:rsid w:val="00574CD9"/>
    <w:rsid w:val="00700131"/>
    <w:rsid w:val="007D3358"/>
    <w:rsid w:val="008473CE"/>
    <w:rsid w:val="008A11F1"/>
    <w:rsid w:val="008A7C1C"/>
    <w:rsid w:val="00983C4B"/>
    <w:rsid w:val="009A0A3A"/>
    <w:rsid w:val="009D560C"/>
    <w:rsid w:val="00A5142D"/>
    <w:rsid w:val="00A9448B"/>
    <w:rsid w:val="00AA305F"/>
    <w:rsid w:val="00BD2994"/>
    <w:rsid w:val="00C04FC4"/>
    <w:rsid w:val="00C074FF"/>
    <w:rsid w:val="00C11EF4"/>
    <w:rsid w:val="00C5708C"/>
    <w:rsid w:val="00C668C1"/>
    <w:rsid w:val="00C75733"/>
    <w:rsid w:val="00CE245E"/>
    <w:rsid w:val="00D15818"/>
    <w:rsid w:val="00D213A1"/>
    <w:rsid w:val="00D85A8D"/>
    <w:rsid w:val="00DF15B5"/>
    <w:rsid w:val="00E14C3A"/>
    <w:rsid w:val="00F176E6"/>
    <w:rsid w:val="00F64DB5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1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11</cp:revision>
  <dcterms:created xsi:type="dcterms:W3CDTF">2017-05-11T07:23:00Z</dcterms:created>
  <dcterms:modified xsi:type="dcterms:W3CDTF">2017-05-12T09:39:00Z</dcterms:modified>
</cp:coreProperties>
</file>